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2490F" w:rsidRPr="00A2490F" w14:paraId="70794B52" w14:textId="77777777" w:rsidTr="00A2490F">
        <w:trPr>
          <w:jc w:val="center"/>
        </w:trPr>
        <w:tc>
          <w:tcPr>
            <w:tcW w:w="0" w:type="auto"/>
            <w:shd w:val="clear" w:color="auto" w:fill="15323A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490F" w:rsidRPr="00A2490F" w14:paraId="1FFA46EC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225" w:type="dxa"/>
                    <w:bottom w:w="0" w:type="dxa"/>
                    <w:right w:w="225" w:type="dxa"/>
                  </w:tcMar>
                  <w:vAlign w:val="center"/>
                  <w:hideMark/>
                </w:tcPr>
                <w:p w14:paraId="4C80D774" w14:textId="77777777" w:rsidR="00A2490F" w:rsidRPr="00A2490F" w:rsidRDefault="00A2490F" w:rsidP="00A2490F">
                  <w:pPr>
                    <w:spacing w:after="150" w:line="330" w:lineRule="atLeast"/>
                    <w:outlineLvl w:val="3"/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Helvetica" w:eastAsia="Times New Roman" w:hAnsi="Helvetica" w:cs="Helvetica"/>
                      <w:b/>
                      <w:bCs/>
                      <w:caps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NEWSLETTER 27/11/2023</w:t>
                  </w:r>
                </w:p>
                <w:p w14:paraId="05D66239" w14:textId="77777777" w:rsidR="00A2490F" w:rsidRPr="00A2490F" w:rsidRDefault="00A2490F" w:rsidP="00A2490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FRUCOM ACTIVITIES</w:t>
                  </w:r>
                </w:p>
                <w:p w14:paraId="0C82D976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5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controls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FRUCOM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meeting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minutes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presentation</w:t>
                    </w:r>
                    <w:proofErr w:type="spellEnd"/>
                  </w:hyperlink>
                </w:p>
                <w:p w14:paraId="12DD328D" w14:textId="77777777" w:rsidR="00A2490F" w:rsidRPr="00A2490F" w:rsidRDefault="00A2490F" w:rsidP="00A2490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330" w:lineRule="atLeast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 PRODUCTS</w:t>
                  </w:r>
                </w:p>
                <w:p w14:paraId="4AE904EB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6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Journal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scheme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generalised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tariff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preferences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(GSP)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extended</w:t>
                    </w:r>
                    <w:proofErr w:type="spellEnd"/>
                  </w:hyperlink>
                </w:p>
                <w:p w14:paraId="686E7FF7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7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Waste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EU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plenary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vote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result</w:t>
                    </w:r>
                    <w:proofErr w:type="spellEnd"/>
                  </w:hyperlink>
                </w:p>
                <w:p w14:paraId="72300357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8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rejected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a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Commission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proposal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Sustainable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Use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Plant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Protection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Products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(SUR)</w:t>
                    </w:r>
                  </w:hyperlink>
                </w:p>
                <w:p w14:paraId="36FD0DED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9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fosetyl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-Al,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potassium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phosphonates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disodium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phosphonates</w:t>
                    </w:r>
                    <w:proofErr w:type="spellEnd"/>
                  </w:hyperlink>
                </w:p>
                <w:p w14:paraId="250C178A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0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U.S.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comments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WTO on EU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import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tolerance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policy</w:t>
                    </w:r>
                    <w:proofErr w:type="spellEnd"/>
                  </w:hyperlink>
                </w:p>
                <w:p w14:paraId="5BEFC5D3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1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U.S.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comments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to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the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WTO on EU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policy</w:t>
                    </w:r>
                    <w:proofErr w:type="spellEnd"/>
                  </w:hyperlink>
                </w:p>
                <w:p w14:paraId="18850E70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2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deltamethrin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metalaxyl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thiabendazole</w:t>
                    </w:r>
                    <w:proofErr w:type="spellEnd"/>
                  </w:hyperlink>
                </w:p>
                <w:p w14:paraId="4387AFE9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3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benomyl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,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carbendazim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thiophanate</w:t>
                    </w:r>
                    <w:r w:rsidRPr="00A2490F">
                      <w:rPr>
                        <w:rFonts w:ascii="Cambria Math" w:eastAsia="Times New Roman" w:hAnsi="Cambria Math" w:cs="Cambria Math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‐</w:t>
                    </w:r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methyl</w:t>
                    </w:r>
                    <w:proofErr w:type="spellEnd"/>
                  </w:hyperlink>
                </w:p>
                <w:p w14:paraId="47745396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4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draft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on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approval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of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safeners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and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synergists</w:t>
                    </w:r>
                    <w:proofErr w:type="spellEnd"/>
                  </w:hyperlink>
                </w:p>
                <w:p w14:paraId="54B78871" w14:textId="77777777" w:rsidR="00A2490F" w:rsidRPr="00A2490F" w:rsidRDefault="00A2490F" w:rsidP="00A2490F">
                  <w:pPr>
                    <w:numPr>
                      <w:ilvl w:val="1"/>
                      <w:numId w:val="1"/>
                    </w:numPr>
                    <w:spacing w:after="0" w:line="330" w:lineRule="atLeast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5" w:history="1"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: EFSA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proposed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MRLs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for</w:t>
                    </w:r>
                    <w:proofErr w:type="spellEnd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 </w:t>
                    </w:r>
                    <w:proofErr w:type="spellStart"/>
                    <w:r w:rsidRPr="00A2490F">
                      <w:rPr>
                        <w:rFonts w:ascii="Helvetica" w:eastAsia="Times New Roman" w:hAnsi="Helvetica" w:cs="Helvetica"/>
                        <w:color w:val="FFFFFF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dicofol</w:t>
                    </w:r>
                    <w:proofErr w:type="spellEnd"/>
                  </w:hyperlink>
                </w:p>
              </w:tc>
            </w:tr>
            <w:tr w:rsidR="00A2490F" w:rsidRPr="00A2490F" w14:paraId="3A56DFBF" w14:textId="77777777">
              <w:trPr>
                <w:trHeight w:val="24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F7F867A" w14:textId="77777777" w:rsidR="00A2490F" w:rsidRPr="00A2490F" w:rsidRDefault="00A2490F" w:rsidP="00A2490F">
                  <w:pPr>
                    <w:spacing w:after="0" w:line="330" w:lineRule="atLeast"/>
                    <w:ind w:left="1440"/>
                    <w:rPr>
                      <w:rFonts w:ascii="Helvetica" w:eastAsia="Times New Roman" w:hAnsi="Helvetica" w:cs="Helvetica"/>
                      <w:color w:val="FFFFFF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31D26BAB" w14:textId="77777777" w:rsidR="00A2490F" w:rsidRPr="00A2490F" w:rsidRDefault="00A2490F" w:rsidP="00A2490F">
            <w:pPr>
              <w:spacing w:after="0" w:line="240" w:lineRule="auto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  <w:tr w:rsidR="00A2490F" w:rsidRPr="00A2490F" w14:paraId="02FBBE25" w14:textId="77777777" w:rsidTr="00A2490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A2490F" w:rsidRPr="00A2490F" w14:paraId="0343BBED" w14:textId="77777777">
              <w:trPr>
                <w:trHeight w:val="600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84B7E93" w14:textId="77777777" w:rsidR="00A2490F" w:rsidRPr="00A2490F" w:rsidRDefault="00A2490F" w:rsidP="00A2490F">
                  <w:pPr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  <w:tr w:rsidR="00A2490F" w:rsidRPr="00A2490F" w14:paraId="27E6241A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88D2393" w14:textId="77777777" w:rsidR="00A2490F" w:rsidRPr="00A2490F" w:rsidRDefault="00A2490F" w:rsidP="00A2490F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FRUCOM ACTIVITIES</w:t>
                  </w:r>
                </w:p>
                <w:p w14:paraId="399AAC40" w14:textId="77777777" w:rsidR="00A2490F" w:rsidRPr="00A2490F" w:rsidRDefault="00A2490F" w:rsidP="00A2490F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6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 CONTROLS: FRUCOM MEETING MINUTES AND PRESENTATION</w:t>
                    </w:r>
                  </w:hyperlink>
                </w:p>
                <w:p w14:paraId="7DCEE8AA" w14:textId="77777777" w:rsidR="00A2490F" w:rsidRPr="00A2490F" w:rsidRDefault="00A2490F" w:rsidP="00A2490F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developments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destruction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organized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minutes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secretariat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5C0C4A9" w14:textId="77777777" w:rsidR="00A2490F" w:rsidRPr="00A2490F" w:rsidRDefault="00A2490F" w:rsidP="00A2490F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Additionally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discussed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FRUCOM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know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your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country's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up-to-date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reprocessing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facilities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F454775" w14:textId="77777777" w:rsidR="00A2490F" w:rsidRPr="00A2490F" w:rsidRDefault="00A2490F" w:rsidP="00A2490F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Presentation: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begin"/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instrText>HYPERLINK "https://frucom.eu/component/attachments/attachments.html?task=attachment&amp;id=2210"</w:instrText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separate"/>
                  </w:r>
                  <w:r w:rsidRPr="00A2490F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>controls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0087B9"/>
                      <w:kern w:val="0"/>
                      <w:sz w:val="24"/>
                      <w:szCs w:val="24"/>
                      <w:u w:val="single"/>
                      <w:bdr w:val="none" w:sz="0" w:space="0" w:color="auto" w:frame="1"/>
                      <w:lang w:eastAsia="tr-TR"/>
                      <w14:ligatures w14:val="none"/>
                    </w:rPr>
                    <w:t xml:space="preserve"> 22Nov23</w:t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fldChar w:fldCharType="end"/>
                  </w:r>
                </w:p>
                <w:p w14:paraId="2FD338F5" w14:textId="77777777" w:rsidR="00A2490F" w:rsidRPr="00A2490F" w:rsidRDefault="00A2490F" w:rsidP="00A2490F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Minutes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  <w:hyperlink r:id="rId17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WG DF N Nov23 </w:t>
                    </w:r>
                    <w:proofErr w:type="spellStart"/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report</w:t>
                    </w:r>
                    <w:proofErr w:type="spellEnd"/>
                  </w:hyperlink>
                </w:p>
                <w:p w14:paraId="617E0266" w14:textId="77777777" w:rsidR="00A2490F" w:rsidRDefault="00A2490F" w:rsidP="00A2490F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C673C06" w14:textId="4B5D9DDD" w:rsidR="00A2490F" w:rsidRPr="00A2490F" w:rsidRDefault="00A2490F" w:rsidP="00A2490F">
                  <w:pPr>
                    <w:spacing w:after="120" w:line="240" w:lineRule="auto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b/>
                      <w:bCs/>
                      <w:color w:val="FF8C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ALL PRODUCTS</w:t>
                  </w:r>
                </w:p>
                <w:p w14:paraId="3F766DBF" w14:textId="77777777" w:rsidR="00A2490F" w:rsidRPr="00A2490F" w:rsidRDefault="00A2490F" w:rsidP="00A2490F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18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OFFICIAL JOURNAL: SCHEME OF GENERALISED TARIFF PREFERENCES (GSP) EXTENDED</w:t>
                    </w:r>
                  </w:hyperlink>
                </w:p>
                <w:p w14:paraId="3D5D21BD" w14:textId="77777777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On 27th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2023/2663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978/2012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scheme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generalised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tariff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preferences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38E411F9" w14:textId="77777777" w:rsidR="00A2490F" w:rsidRPr="00A2490F" w:rsidRDefault="00A2490F" w:rsidP="00A2490F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 </w:t>
                  </w:r>
                </w:p>
                <w:p w14:paraId="27BEC0B5" w14:textId="089308C9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scheme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extended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until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2027, 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time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needed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legislative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successor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 </w:t>
                  </w:r>
                </w:p>
                <w:p w14:paraId="2E048656" w14:textId="0BC4C9A2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January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31st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2023.  </w:t>
                  </w:r>
                </w:p>
                <w:p w14:paraId="7EA24FE1" w14:textId="77777777" w:rsidR="00A2490F" w:rsidRPr="00A2490F" w:rsidRDefault="00A2490F" w:rsidP="00A644B5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Link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Regulation: </w:t>
                  </w:r>
                  <w:hyperlink r:id="rId19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https://eur-lex.europa.eu/legal-content/EN/TXT/PDF/?uri=OJ:L_202302663</w:t>
                    </w:r>
                  </w:hyperlink>
                </w:p>
                <w:p w14:paraId="1C3BFB21" w14:textId="77777777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441DE147" w14:textId="77777777" w:rsidR="00A2490F" w:rsidRPr="00A2490F" w:rsidRDefault="00A2490F" w:rsidP="00A644B5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0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PACKAGING AND PACKAGING WASTE: EU PARLIAMENT PLENARY VOTE RESULT</w:t>
                    </w:r>
                  </w:hyperlink>
                </w:p>
                <w:p w14:paraId="495834CA" w14:textId="77777777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(PPWR)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through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during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22n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7EDF49C" w14:textId="77777777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exempted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reusing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obligations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5ECDEC99" w14:textId="77777777" w:rsidR="00A2490F" w:rsidRP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</w:t>
                  </w:r>
                </w:p>
                <w:p w14:paraId="5131BC2C" w14:textId="5D0F2630" w:rsidR="00A2490F" w:rsidRDefault="00A2490F" w:rsidP="00A644B5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22,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 –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Compromise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</w:t>
                  </w:r>
                </w:p>
                <w:p w14:paraId="06DFD45B" w14:textId="77777777" w:rsidR="00991334" w:rsidRPr="00A2490F" w:rsidRDefault="00991334" w:rsidP="00991334">
                  <w:pPr>
                    <w:spacing w:after="120" w:line="240" w:lineRule="auto"/>
                    <w:ind w:left="-142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"/>
                    <w:gridCol w:w="2337"/>
                    <w:gridCol w:w="5359"/>
                    <w:gridCol w:w="1144"/>
                  </w:tblGrid>
                  <w:tr w:rsidR="00A2490F" w:rsidRPr="00A2490F" w14:paraId="12EBD605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C0CD247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Proposal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regulation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Annex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V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row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</w:t>
                        </w:r>
                      </w:p>
                    </w:tc>
                  </w:tr>
                  <w:tr w:rsidR="00A2490F" w:rsidRPr="00A2490F" w14:paraId="14072FF3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C7E4AC4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</w:p>
                    </w:tc>
                  </w:tr>
                  <w:tr w:rsidR="00A2490F" w:rsidRPr="00A2490F" w14:paraId="61580EBF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2C742BC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Text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Commission</w:t>
                        </w:r>
                        <w:proofErr w:type="spellEnd"/>
                      </w:p>
                    </w:tc>
                  </w:tr>
                  <w:tr w:rsidR="00A2490F" w:rsidRPr="00A2490F" w14:paraId="49DE6EE7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0A3A9752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4CBE7C7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Single-use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plastic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877F9B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Plastic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at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retail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level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goods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sold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in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cans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tins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pots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tubs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packets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designed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as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convenience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enable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encourage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end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users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purchase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more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one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.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This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excludes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necessary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facilitate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handling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distribution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372DA1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Collation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films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shrink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wrap</w:t>
                        </w:r>
                        <w:proofErr w:type="spellEnd"/>
                      </w:p>
                    </w:tc>
                  </w:tr>
                  <w:tr w:rsidR="00A2490F" w:rsidRPr="00A2490F" w14:paraId="4DD01576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5515FAB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Amendment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gram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328 -</w:t>
                        </w:r>
                        <w:proofErr w:type="gramEnd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adopted</w:t>
                        </w:r>
                        <w:proofErr w:type="spellEnd"/>
                      </w:p>
                    </w:tc>
                  </w:tr>
                  <w:tr w:rsidR="00A2490F" w:rsidRPr="00A2490F" w14:paraId="11C2F1E5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42D430E6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164CA02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Single-use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plastic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2A6A27D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Plastic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at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point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goods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sold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in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cans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tins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pots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tubs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packets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designed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as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convenience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enable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encourage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consumers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purchase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more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than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one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.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This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excludes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grouped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necessary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facilitate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handling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in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business-to-business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distribution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DB48799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Collation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films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shrink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wrap</w:t>
                        </w:r>
                        <w:proofErr w:type="spellEnd"/>
                      </w:p>
                    </w:tc>
                  </w:tr>
                  <w:tr w:rsidR="00A2490F" w:rsidRPr="00A2490F" w14:paraId="2342199F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7EC694A9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Proposal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regulation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Annex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V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row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4</w:t>
                        </w:r>
                      </w:p>
                    </w:tc>
                  </w:tr>
                  <w:tr w:rsidR="00A2490F" w:rsidRPr="00A2490F" w14:paraId="09BEF3CC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39DDB6EA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Text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Commission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-</w:t>
                        </w:r>
                        <w:proofErr w:type="gram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spellStart"/>
                        <w:r w:rsidRPr="00A2490F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Amendment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r w:rsidRPr="00A2490F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391 cp3 - </w:t>
                        </w:r>
                        <w:proofErr w:type="spellStart"/>
                        <w:r w:rsidRPr="00A2490F">
                          <w:rPr>
                            <w:rFonts w:ascii="gt_walsheim_probold" w:eastAsia="Times New Roman" w:hAnsi="gt_walsheim_probold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deleted</w:t>
                        </w:r>
                        <w:proofErr w:type="spellEnd"/>
                      </w:p>
                    </w:tc>
                  </w:tr>
                  <w:tr w:rsidR="00A2490F" w:rsidRPr="00A2490F" w14:paraId="51F51130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7D9B82D7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1F778FA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Single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condiments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sauces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coffee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creamer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sugar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seasoning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in HORECA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sector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E8E6DD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Single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in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HORECA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sector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containing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individual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portions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servings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condiments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preserves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sauces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coffee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creamer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sugar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seasoning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except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such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provided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together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with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take-away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ready-prepared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food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intended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immediate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consumption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without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need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further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preparation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ED702C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Sachets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tubs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trays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boxes</w:t>
                        </w:r>
                        <w:proofErr w:type="spellEnd"/>
                      </w:p>
                    </w:tc>
                  </w:tr>
                  <w:tr w:rsidR="00A2490F" w:rsidRPr="00A2490F" w14:paraId="63A20ED0" w14:textId="77777777" w:rsidTr="00991334"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14:paraId="41A14A09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14:paraId="5B1F2FB5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26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transport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 -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Compromise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34"/>
                    <w:gridCol w:w="5138"/>
                  </w:tblGrid>
                  <w:tr w:rsidR="00A2490F" w:rsidRPr="00A2490F" w14:paraId="09DF341E" w14:textId="77777777" w:rsidTr="00991334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56760D0B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Proposal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regulation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Article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26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paragraph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12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subparagraph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introductory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part</w:t>
                        </w:r>
                        <w:proofErr w:type="spellEnd"/>
                      </w:p>
                    </w:tc>
                  </w:tr>
                  <w:tr w:rsidR="00A2490F" w:rsidRPr="00A2490F" w14:paraId="7C8ACB01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52DF2390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Text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Commission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641BC9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Amendment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gram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218 -</w:t>
                        </w:r>
                        <w:proofErr w:type="gramEnd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adopted</w:t>
                        </w:r>
                        <w:proofErr w:type="spellEnd"/>
                      </w:p>
                    </w:tc>
                  </w:tr>
                  <w:tr w:rsidR="00A2490F" w:rsidRPr="00A2490F" w14:paraId="45E02B7D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739ACF29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Transport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an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shall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be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reusable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where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it is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transporting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0A4405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From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January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2030, 95%</w:t>
                        </w: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 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transport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an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shall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be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reusable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where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it is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transporting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:</w:t>
                        </w:r>
                      </w:p>
                    </w:tc>
                  </w:tr>
                  <w:tr w:rsidR="00A2490F" w:rsidRPr="00A2490F" w14:paraId="41140C46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71C3236B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632AC97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</w:p>
                    </w:tc>
                  </w:tr>
                  <w:tr w:rsidR="00A2490F" w:rsidRPr="00A2490F" w14:paraId="43A7C925" w14:textId="77777777" w:rsidTr="00991334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3927B717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Article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26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paragraph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13 –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subparagraph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</w:t>
                        </w:r>
                      </w:p>
                    </w:tc>
                  </w:tr>
                  <w:tr w:rsidR="00A2490F" w:rsidRPr="00A2490F" w14:paraId="180954DA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16DC577A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Text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proposed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by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Commission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E149E4B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Amendment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 </w:t>
                        </w:r>
                        <w:proofErr w:type="gram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219 -</w:t>
                        </w:r>
                        <w:proofErr w:type="gramEnd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b/>
                            <w:b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adopted</w:t>
                        </w:r>
                        <w:proofErr w:type="spellEnd"/>
                      </w:p>
                    </w:tc>
                  </w:tr>
                  <w:tr w:rsidR="00A2490F" w:rsidRPr="00A2490F" w14:paraId="6E23A024" w14:textId="77777777" w:rsidTr="00991334">
                    <w:tc>
                      <w:tcPr>
                        <w:tcW w:w="0" w:type="auto"/>
                        <w:vAlign w:val="center"/>
                        <w:hideMark/>
                      </w:tcPr>
                      <w:p w14:paraId="3908EC1D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delivering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another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within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same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Member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State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shall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only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reusable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transport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purpose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transportation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such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656E1DD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From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1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January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2030</w:t>
                        </w:r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, 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including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online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i/>
                            <w:iCs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platforms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,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delivering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to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another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economic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operator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within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same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Member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State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shall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use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only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reusable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transport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packaging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for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purpose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the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transportation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of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such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 xml:space="preserve"> </w:t>
                        </w:r>
                        <w:proofErr w:type="spellStart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products</w:t>
                        </w:r>
                        <w:proofErr w:type="spellEnd"/>
                        <w:r w:rsidRPr="00A2490F"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  <w:t>.</w:t>
                        </w:r>
                      </w:p>
                    </w:tc>
                  </w:tr>
                  <w:tr w:rsidR="00A2490F" w:rsidRPr="00A2490F" w14:paraId="527291C3" w14:textId="77777777" w:rsidTr="00991334"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14:paraId="67C38282" w14:textId="77777777" w:rsidR="00A2490F" w:rsidRPr="00A2490F" w:rsidRDefault="00A2490F" w:rsidP="00A2490F">
                        <w:pPr>
                          <w:spacing w:after="120" w:line="240" w:lineRule="auto"/>
                          <w:jc w:val="both"/>
                          <w:rPr>
                            <w:rFonts w:ascii="Arial" w:eastAsia="Times New Roman" w:hAnsi="Arial" w:cs="Arial"/>
                            <w:color w:val="2D2D38"/>
                            <w:kern w:val="0"/>
                            <w:sz w:val="24"/>
                            <w:szCs w:val="24"/>
                            <w:lang w:eastAsia="tr-TR"/>
                            <w14:ligatures w14:val="none"/>
                          </w:rPr>
                        </w:pPr>
                      </w:p>
                    </w:tc>
                  </w:tr>
                </w:tbl>
                <w:p w14:paraId="104ECC32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New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 </w:t>
                  </w:r>
                </w:p>
                <w:p w14:paraId="39FC5249" w14:textId="77777777" w:rsidR="00A2490F" w:rsidRPr="00A2490F" w:rsidRDefault="00A2490F" w:rsidP="00A2490F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1FED963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b/>
                      <w:b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506</w:t>
                  </w:r>
                </w:p>
                <w:p w14:paraId="78A93BD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</w:p>
                <w:p w14:paraId="0F6A4C61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26 –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paragraph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 b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):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operators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exempted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obligation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meet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paragraphs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7, 12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13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transport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packaging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direct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 178/2002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i/>
                      <w:iCs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C00D69D" w14:textId="77777777" w:rsidR="00A2490F" w:rsidRPr="00A2490F" w:rsidRDefault="00A2490F" w:rsidP="00A2490F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473639C6" w14:textId="77777777" w:rsidR="00A2490F" w:rsidRPr="00A2490F" w:rsidRDefault="00A2490F" w:rsidP="00991334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text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https://www.europarl.europa.eu/doceo/document/TA-9-2023-0425_EN.pdf</w:t>
                  </w:r>
                </w:p>
                <w:p w14:paraId="06533AC6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previous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1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 xml:space="preserve">FRUCOM </w:t>
                    </w:r>
                    <w:proofErr w:type="spellStart"/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communication</w:t>
                    </w:r>
                    <w:proofErr w:type="spellEnd"/>
                  </w:hyperlink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FRUCOM had sent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letter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MEP De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PPWR.</w:t>
                  </w:r>
                </w:p>
                <w:p w14:paraId="4202693D" w14:textId="77777777" w:rsidR="00A2490F" w:rsidRPr="00A2490F" w:rsidRDefault="00A2490F" w:rsidP="00991334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Please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press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release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 here: </w:t>
                  </w:r>
                  <w:hyperlink r:id="rId22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https://www.europarl.europa.eu/news/en/press-room/20231117IPR12213/parliament-adopts-revamped-rules-to-reduce-reuse-and-recycle-packaging</w:t>
                    </w:r>
                  </w:hyperlink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 and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FoodDrinkEurope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here: </w:t>
                  </w:r>
                  <w:hyperlink r:id="rId23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https://www.fooddrinkeurope.eu/resource/meps-see-the-complexity-of-</w:t>
                    </w:r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lastRenderedPageBreak/>
                      <w:t>packaging-and-adopt-a-pragmatic-negotiating-position/</w:t>
                    </w:r>
                  </w:hyperlink>
                </w:p>
                <w:p w14:paraId="718C228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Next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step: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General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(=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).</w:t>
                  </w:r>
                </w:p>
                <w:p w14:paraId="35291087" w14:textId="77777777" w:rsidR="00991334" w:rsidRDefault="00991334" w:rsidP="00991334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A0C8C87" w14:textId="03ECF96A" w:rsidR="00A2490F" w:rsidRPr="00A2490F" w:rsidRDefault="00A2490F" w:rsidP="00991334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4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PARLIAMENT REJECTED A COMMISSION PROPOSAL ON THE SUSTAINABLE USE OF PLANT PROTECTION PRODUCTS (SUR)</w:t>
                    </w:r>
                  </w:hyperlink>
                </w:p>
                <w:p w14:paraId="4E780962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effectively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(SUR).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debate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Tuesday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21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November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299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Wednesday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Commission’s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plenary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207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121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abstaining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E0CD5A2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vote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effectively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closed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first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calls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withdraw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D6C8A4E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own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definitively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rejected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returns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second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802C640" w14:textId="77777777" w:rsidR="00A2490F" w:rsidRPr="00A2490F" w:rsidRDefault="00A2490F" w:rsidP="00991334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information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: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  <w:hyperlink r:id="rId25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https://www.europarl.europa.eu/doceo/document/TA-9-2023-0424_EN.pdf</w:t>
                    </w:r>
                  </w:hyperlink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, </w:t>
                  </w:r>
                  <w:hyperlink r:id="rId26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https://frucom.eu/circulars/4364:pesticides-commission-s-sur-brieffing.html</w:t>
                    </w:r>
                  </w:hyperlink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5E88D4A4" w14:textId="77777777" w:rsidR="00991334" w:rsidRDefault="00991334" w:rsidP="00991334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758C708" w14:textId="036BEDA7" w:rsidR="00A2490F" w:rsidRPr="00A2490F" w:rsidRDefault="00A2490F" w:rsidP="00991334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7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DRAFT MRLS FOR FOSETYL-AL, POTASSIUM PHOSPHONATES AND DISODIUM PHOSPHONATES</w:t>
                    </w:r>
                  </w:hyperlink>
                </w:p>
                <w:p w14:paraId="43D830EF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III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fosetyl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-Al,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disodium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update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fosetyl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-Al,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disodium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deleting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Besides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ingredients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e.g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fertilisers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strengtheners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manure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treatment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pertinent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appropriate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contribution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setting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deliver,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43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396/2005,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reasoned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joint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fosetyl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-Al,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potassium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disodium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7DA0F0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Reference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Laboratories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determination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(‘LOD’)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technically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achievable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0,1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matrices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0,2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starch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matrices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0,05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milk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0,2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0,5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liver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kidney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Nevertheless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persistence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potential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multitude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it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appropriate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maintain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at 2 mg/kg,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adjusted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1,5 mg/kg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coffee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herbal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infusions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cocoa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carobs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of 20 mg/kg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appropriate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occurrence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380317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New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salts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phosphonic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(R):</w:t>
                  </w:r>
                </w:p>
                <w:p w14:paraId="47F6E14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</w:t>
                  </w:r>
                </w:p>
                <w:p w14:paraId="652E017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Almonds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1000</w:t>
                  </w:r>
                </w:p>
                <w:p w14:paraId="30FC134B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Brazil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517CF9E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Cashew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428B6AE8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Chestnuts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1000</w:t>
                  </w:r>
                </w:p>
                <w:p w14:paraId="79912044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Coconuts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4F8FD6A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Hazelnuts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cobnuts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1000</w:t>
                  </w:r>
                </w:p>
                <w:p w14:paraId="5C2B7BFE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Macadamias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0B40B49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Pecans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4C5DAFBE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Pine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kernels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412BFB84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Pistachios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1000</w:t>
                  </w:r>
                </w:p>
                <w:p w14:paraId="4F5CDB95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Walnuts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1000</w:t>
                  </w:r>
                </w:p>
                <w:p w14:paraId="3860BAC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400</w:t>
                  </w:r>
                </w:p>
                <w:p w14:paraId="71EAEB8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70</w:t>
                  </w:r>
                </w:p>
                <w:p w14:paraId="5C5A04C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Apricots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60</w:t>
                  </w:r>
                </w:p>
                <w:p w14:paraId="04759691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sweet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8</w:t>
                  </w:r>
                </w:p>
                <w:p w14:paraId="2E1DF778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Peaches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60</w:t>
                  </w:r>
                </w:p>
                <w:p w14:paraId="4EAB7250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Plums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</w:t>
                  </w:r>
                </w:p>
                <w:p w14:paraId="224D37F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stone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</w:t>
                  </w:r>
                </w:p>
                <w:p w14:paraId="07699EF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Wine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150</w:t>
                  </w:r>
                </w:p>
                <w:p w14:paraId="7A04D441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Strawberries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70</w:t>
                  </w:r>
                </w:p>
                <w:p w14:paraId="264FAFF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Blackberries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200</w:t>
                  </w:r>
                </w:p>
                <w:p w14:paraId="5A1F1F7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Dewberries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80</w:t>
                  </w:r>
                </w:p>
                <w:p w14:paraId="770674D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Raspberries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yellow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200</w:t>
                  </w:r>
                </w:p>
                <w:p w14:paraId="4DBE2650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80</w:t>
                  </w:r>
                </w:p>
                <w:p w14:paraId="12D0B7C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Blueberries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150</w:t>
                  </w:r>
                </w:p>
                <w:p w14:paraId="6C2762FF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Cranberries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3E0DCDB1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Currants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black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150</w:t>
                  </w:r>
                </w:p>
                <w:p w14:paraId="3298DF4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Gooseberries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green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yellow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150</w:t>
                  </w:r>
                </w:p>
                <w:p w14:paraId="2DBAC126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7090892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Mulberries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black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white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1,5</w:t>
                  </w:r>
                </w:p>
                <w:p w14:paraId="73EB49E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Elderberries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60</w:t>
                  </w:r>
                </w:p>
                <w:p w14:paraId="24800D7F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berries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5F92997A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1616BD15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Figs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0160875B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olives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80</w:t>
                  </w:r>
                </w:p>
                <w:p w14:paraId="6F354E6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Kumquats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</w:t>
                  </w:r>
                </w:p>
                <w:p w14:paraId="6B0E976B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Carambolas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29D3D7F0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Jambuls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jambolans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3F0FD39A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Miscellaneous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edible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5D358460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Kiwi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green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yellow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150</w:t>
                  </w:r>
                </w:p>
                <w:p w14:paraId="6924310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Litchis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lychees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2C792DA3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Passionfruits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maracujas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</w:t>
                  </w:r>
                </w:p>
                <w:p w14:paraId="3FD88F1F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Prickly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cactus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71F767F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Star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cainitos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3B5D1294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persimmons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/Virginia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kaki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7C9E7E1F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Miscellaneous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inedible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large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67595A9A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Avocados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50</w:t>
                  </w:r>
                </w:p>
                <w:p w14:paraId="69F5C326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Bananas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144C76A7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Mangoes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5470A315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Papayas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</w:t>
                  </w:r>
                </w:p>
                <w:p w14:paraId="002D423C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Granate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pomegranates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70</w:t>
                  </w:r>
                </w:p>
                <w:p w14:paraId="6352B6F6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Cherimoyas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7741D9ED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Guavas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34524A2A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Pineapples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</w:t>
                  </w:r>
                </w:p>
                <w:p w14:paraId="53F40AD8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Breadfruits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5450D54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Soursops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guanabanas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3C13430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olives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1,5</w:t>
                  </w:r>
                </w:p>
                <w:p w14:paraId="49FF913A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3</w:t>
                  </w:r>
                </w:p>
                <w:p w14:paraId="6C73398E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Olives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80</w:t>
                  </w:r>
                </w:p>
                <w:p w14:paraId="1B73F47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4A769169" w14:textId="77777777" w:rsidR="00A2490F" w:rsidRPr="00A2490F" w:rsidRDefault="00A2490F" w:rsidP="00991334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41B53F9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28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https://docs.wto.org/dol2fe/Pages/SS/directdoc.aspx?filename=q:/G/SPS/NEU698.pdf&amp;Open=True</w:t>
                    </w:r>
                  </w:hyperlink>
                </w:p>
                <w:p w14:paraId="162C45CC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433D93A7" w14:textId="6E037855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29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U.S. COMMENTS TO THE WTO ON EU IMPORT TOLERANCE POLICY</w:t>
                    </w:r>
                  </w:hyperlink>
                </w:p>
                <w:p w14:paraId="2C56516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achieve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outcomes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534.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reiterates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domestic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agricultural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067D86D5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"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recognize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tailoring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economic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social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dimensions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unique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However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'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sustainability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consistent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obligations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Agreements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U.S.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national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competent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empowered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life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own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territories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However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a de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extension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farming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communities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outside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because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third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country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satisfy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preferences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perspective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about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U.S.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widely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scientific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understanding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interactions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among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multiple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factors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affect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colony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presence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pathogens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diseases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;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nutrition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loss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foraging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habitats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monoculture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management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practices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lack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genetic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diversity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8AA458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However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environmental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perspective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has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demonstrating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actual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studies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evaluate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limited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Europe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take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account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regional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conditions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practices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fauna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collaborative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pollinators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."</w:t>
                  </w:r>
                </w:p>
                <w:p w14:paraId="57398BE7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0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https://docs.wto.org/dol2fe/Pages/SS/directdoc.aspx?filename=q:/G/SPS/GEN2179.pdf&amp;Open=True</w:t>
                    </w:r>
                  </w:hyperlink>
                </w:p>
                <w:p w14:paraId="7D055989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6D62002" w14:textId="3B7E72C2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1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U.S. COMMENTS TO THE WTO ON EU PESTICIDES POLICY</w:t>
                    </w:r>
                  </w:hyperlink>
                </w:p>
                <w:p w14:paraId="4F96B85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received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America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policies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–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448: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alpha-cypermethrin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buprofezin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chlorothalonil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chlorpyrifos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chlorpyrifos-methyl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diflubenzuron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ethoxysulfuron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glufosinate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imazalil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ioxynil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iprodione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mancozeb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molinate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picoxystrobin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tepraloxydim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United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along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number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Members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continues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express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concern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decisions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systemic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barriers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result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subsequent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withdrawal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pesticide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Limit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Quantification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uncertainty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insufficient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scientific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evidence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U.S.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writes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remind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SPS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measures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only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human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life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health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SPS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measures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justified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necessary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they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least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trade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restrictive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manner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possible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U.S.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requests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maintain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do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known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unacceptable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risks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prior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withdrawal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complete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science-based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applications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consumer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dietary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risk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guidance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standards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642A52EB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2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https://docs.wto.org/dol2fe/Pages/SS/directdoc.aspx?filename=q:/G/SPS/GEN2178.pdf&amp;Open=True</w:t>
                    </w:r>
                  </w:hyperlink>
                </w:p>
                <w:p w14:paraId="7101E8D8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321FDDE8" w14:textId="5148CD89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3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DRAFT MRLS FOR DELTAMETHRIN, METALAXYL AND THIABENDAZOLE</w:t>
                    </w:r>
                  </w:hyperlink>
                </w:p>
                <w:p w14:paraId="0B90E9F9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No. 396/2005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metalaxyl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thiabendazole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trifloxystrobin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516C9D05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(cis-</w:t>
                  </w:r>
                  <w:proofErr w:type="spellStart"/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deltamethrin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)(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F)</w:t>
                  </w:r>
                </w:p>
                <w:p w14:paraId="4ED09F0F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0.02</w:t>
                  </w:r>
                </w:p>
                <w:p w14:paraId="3472DEE9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35DE7007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Pear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0.09</w:t>
                  </w:r>
                </w:p>
                <w:p w14:paraId="317C9F2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Plums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0.1</w:t>
                  </w:r>
                </w:p>
                <w:p w14:paraId="14F25025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0.08</w:t>
                  </w:r>
                </w:p>
                <w:p w14:paraId="2EF95F07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Miscellaneous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inedible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peel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small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2FBF633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Mangoes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0.05</w:t>
                  </w:r>
                </w:p>
                <w:p w14:paraId="5C4EF0E0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Papaya 0.1</w:t>
                  </w:r>
                </w:p>
                <w:p w14:paraId="5B7BB9C9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expect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rapeseed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olives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0.01</w:t>
                  </w:r>
                </w:p>
                <w:p w14:paraId="349329E3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Metalaxyl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metalaxyl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-M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metalaxyl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including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mixtures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constituent</w:t>
                  </w:r>
                  <w:proofErr w:type="spellEnd"/>
                </w:p>
                <w:p w14:paraId="0CBAC97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Lemons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74CF0E6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0.4</w:t>
                  </w:r>
                </w:p>
                <w:p w14:paraId="4668662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Mandarins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0.4</w:t>
                  </w:r>
                </w:p>
                <w:p w14:paraId="2E23ACD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citrus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(0110990) 0.01</w:t>
                  </w:r>
                </w:p>
                <w:p w14:paraId="29A9FF82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79BBE46E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Grapes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1.5</w:t>
                  </w:r>
                </w:p>
                <w:p w14:paraId="383757BB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Thiabendazole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(R)</w:t>
                  </w:r>
                </w:p>
                <w:p w14:paraId="3E2D7FDE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Avocado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15</w:t>
                  </w:r>
                </w:p>
                <w:p w14:paraId="728F46CE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Papaya 0.01</w:t>
                  </w:r>
                </w:p>
                <w:p w14:paraId="7D9C40E5" w14:textId="77777777" w:rsidR="00A2490F" w:rsidRPr="00A2490F" w:rsidRDefault="00A2490F" w:rsidP="00A2490F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 </w:t>
                  </w:r>
                </w:p>
                <w:p w14:paraId="6E729F5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/mm/yy): 15 April 2024</w:t>
                  </w:r>
                </w:p>
                <w:p w14:paraId="3E574962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15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35A715C9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4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https://docs.wto.org/dol2fe/Pages/SS/directdoc.aspx?filename=q:/G/SPS/NEU697.pdf&amp;Open=True</w:t>
                    </w:r>
                  </w:hyperlink>
                </w:p>
                <w:p w14:paraId="63EF9F20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DEBD9E1" w14:textId="7C5F027E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5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DRAFT MRLS FOR BENOMYL, CARBENDAZIM AND THIOPHANATE</w:t>
                    </w:r>
                    <w:r w:rsidRPr="00A2490F">
                      <w:rPr>
                        <w:rFonts w:ascii="Cambria Math" w:eastAsia="Times New Roman" w:hAnsi="Cambria Math" w:cs="Cambria Math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‐</w:t>
                    </w:r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METHYL</w:t>
                    </w:r>
                  </w:hyperlink>
                </w:p>
                <w:p w14:paraId="5C127FA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Annexes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II, III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V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No. 396/2005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regards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benomyl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carbendazim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thiophanate</w:t>
                  </w:r>
                  <w:r w:rsidRPr="00A2490F">
                    <w:rPr>
                      <w:rFonts w:ascii="Cambria Math" w:eastAsia="Times New Roman" w:hAnsi="Cambria Math" w:cs="Cambria Math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certain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carbendazim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thiophanate</w:t>
                  </w:r>
                  <w:r w:rsidRPr="00A2490F">
                    <w:rPr>
                      <w:rFonts w:ascii="Cambria Math" w:eastAsia="Times New Roman" w:hAnsi="Cambria Math" w:cs="Cambria Math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their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reasoned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opinions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modification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carbendazim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thiophanate</w:t>
                  </w:r>
                  <w:r w:rsidRPr="00A2490F">
                    <w:rPr>
                      <w:rFonts w:ascii="Cambria Math" w:eastAsia="Times New Roman" w:hAnsi="Cambria Math" w:cs="Cambria Math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‐</w:t>
                  </w:r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above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No. 396/2005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amended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4CB90243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Benomyl</w:t>
                  </w:r>
                  <w:proofErr w:type="spellEnd"/>
                </w:p>
                <w:p w14:paraId="7098AC30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fresh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frozen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2C12A433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62320E9E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Carbendazim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(R)</w:t>
                  </w:r>
                </w:p>
                <w:p w14:paraId="3567B84A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fresh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frozen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excluding</w:t>
                  </w:r>
                  <w:proofErr w:type="spellEnd"/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lemons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mandarins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0.01</w:t>
                  </w:r>
                </w:p>
                <w:p w14:paraId="6715B025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Lemons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mandarins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0.9</w:t>
                  </w:r>
                </w:p>
                <w:p w14:paraId="46135D4C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6FEF0EF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Thiophanate-methyl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(R)</w:t>
                  </w:r>
                </w:p>
                <w:p w14:paraId="411EECB5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fresh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frozen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;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tree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nuts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(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excluding</w:t>
                  </w:r>
                  <w:proofErr w:type="spellEnd"/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 0.01</w:t>
                  </w:r>
                </w:p>
                <w:p w14:paraId="5A6BABB3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Limes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7</w:t>
                  </w:r>
                </w:p>
                <w:p w14:paraId="6FA6EAF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fruits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0.01</w:t>
                  </w:r>
                </w:p>
                <w:p w14:paraId="7190BFA6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59152CE1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/mm/yy): 2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July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1C678B08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6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https://docs.wto.org/dol2fe/Pages/SS/directdoc.aspx?filename=q:/G/SPS/NEU696.pdf&amp;Open=True</w:t>
                    </w:r>
                  </w:hyperlink>
                </w:p>
                <w:p w14:paraId="226DC63F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6BAE9CB" w14:textId="792BDA97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7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DRAFT ON APPROVAL OF SAFENERS AND SYNERGISTS</w:t>
                    </w:r>
                  </w:hyperlink>
                </w:p>
                <w:p w14:paraId="7BA7F898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notified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WTO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draft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Commission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programme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gradual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European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Parliament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Council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29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(EC) No 1107/2009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pursuant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28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25(1)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criteria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lastRenderedPageBreak/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laid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down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4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fulfilled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Furthermore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25(2)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provides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general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rules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renewal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thereof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set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out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5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21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Therefore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similar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applicable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supplementary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data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requirement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demonstration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efficacy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addition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assess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contained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protection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products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already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market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programme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gradual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those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order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ensure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alignment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derogation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Article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81(1)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Regulation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(EU) No 1107/2009,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procedures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safeners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synergists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years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work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programme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75F8D621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First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half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2024</w:t>
                  </w:r>
                </w:p>
                <w:p w14:paraId="663B9404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entry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Twenty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days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following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publication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Official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Journal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provisions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from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six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months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after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adoption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)</w:t>
                  </w:r>
                </w:p>
                <w:p w14:paraId="16AA4A2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38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https://docs.wto.org/dol2fe/Pages/SS/directdoc.aspx?filename=q:/G/TBTN23/EU1034.pdf&amp;Open=True</w:t>
                    </w:r>
                  </w:hyperlink>
                </w:p>
                <w:p w14:paraId="2A5AA96E" w14:textId="77777777" w:rsidR="002B3AE7" w:rsidRDefault="002B3AE7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1919236" w14:textId="5C1B9CC9" w:rsidR="00A2490F" w:rsidRPr="00A2490F" w:rsidRDefault="00A2490F" w:rsidP="002B3AE7">
                  <w:pPr>
                    <w:spacing w:after="120" w:line="240" w:lineRule="auto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bCs/>
                      <w:caps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hyperlink r:id="rId39" w:history="1">
                    <w:r w:rsidRPr="00A2490F">
                      <w:rPr>
                        <w:rFonts w:ascii="Arial" w:eastAsia="Times New Roman" w:hAnsi="Arial" w:cs="Arial"/>
                        <w:b/>
                        <w:bCs/>
                        <w:caps/>
                        <w:color w:val="333333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PESTICIDES: EFSA PROPOSED MRLS FOR DICOFOL</w:t>
                    </w:r>
                  </w:hyperlink>
                </w:p>
                <w:p w14:paraId="18A2DB2A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EFSA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published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new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targeted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review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maximum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levels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terms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reference, EFSA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investigated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whether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they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An EU MRL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considered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if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it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supported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data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established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Codex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Maximum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Limit (CXL)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import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tolerance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still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relevant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that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derived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previously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authorised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obsolete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Analytical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enforcement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definition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matrices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0.02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can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enforced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LOQ of 0.01–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0.05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each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isomer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According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EURLs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quick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easy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cheap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effective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rugged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safe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QuEChERS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multi-residue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analytical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is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0.02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routine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analysis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four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main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matrix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groups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plant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0.04 mg/kg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specific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matrices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i.e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cocoa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water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high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acid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content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0.01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successfully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validated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QuEChERS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multi-residue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analytical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SweEt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method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also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available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monitor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muscle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milk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liver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with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0.02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even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summed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 of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0.01</w:t>
                  </w:r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mg/kg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successfully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validated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origin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set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dicofol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based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formerly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approved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uses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CXLs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investigated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all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as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sufficiently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: EU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on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melons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cotton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teas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hops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poultry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milk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bird's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eggs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No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fall-back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were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identified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for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of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these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crops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or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animal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commodities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.</w:t>
                  </w:r>
                </w:p>
                <w:p w14:paraId="15A1A4F1" w14:textId="77777777" w:rsidR="002B3AE7" w:rsidRDefault="002B3AE7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</w:pPr>
                </w:p>
                <w:p w14:paraId="3ABEA0EA" w14:textId="7322B5B4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lastRenderedPageBreak/>
                    <w:t xml:space="preserve">EFSA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proposed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>MRLs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u w:val="single"/>
                      <w:lang w:eastAsia="tr-TR"/>
                      <w14:ligatures w14:val="none"/>
                    </w:rPr>
                    <w:t xml:space="preserve"> (mg/kg):</w:t>
                  </w:r>
                </w:p>
                <w:p w14:paraId="3E3015DD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Melons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 LOQ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0.2)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MRL is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LOQ .</w:t>
                  </w:r>
                  <w:proofErr w:type="gramEnd"/>
                </w:p>
                <w:p w14:paraId="55C3857E" w14:textId="77777777" w:rsidR="00A2490F" w:rsidRPr="00A2490F" w:rsidRDefault="00A2490F" w:rsidP="002B3AE7">
                  <w:pPr>
                    <w:spacing w:after="120" w:line="240" w:lineRule="auto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Cotton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seeds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: LOQ (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currently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gram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0.1)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proofErr w:type="gram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existing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EU MRL is not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substantiated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.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Hence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,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MRL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should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be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lowered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to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</w:t>
                  </w: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the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LOQ.</w:t>
                  </w:r>
                </w:p>
                <w:p w14:paraId="48E5142E" w14:textId="77777777" w:rsidR="00A2490F" w:rsidRDefault="00A2490F" w:rsidP="002B3AE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  <w:proofErr w:type="spellStart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>More</w:t>
                  </w:r>
                  <w:proofErr w:type="spellEnd"/>
                  <w:r w:rsidRPr="00A2490F">
                    <w:rPr>
                      <w:rFonts w:ascii="Arial" w:eastAsia="Times New Roman" w:hAnsi="Arial" w:cs="Arial"/>
                      <w:color w:val="2D2D38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  <w:t xml:space="preserve"> information: </w:t>
                  </w:r>
                  <w:hyperlink r:id="rId40" w:history="1">
                    <w:r w:rsidRPr="00A2490F">
                      <w:rPr>
                        <w:rFonts w:ascii="Arial" w:eastAsia="Times New Roman" w:hAnsi="Arial" w:cs="Arial"/>
                        <w:color w:val="0087B9"/>
                        <w:kern w:val="0"/>
                        <w:sz w:val="24"/>
                        <w:szCs w:val="24"/>
                        <w:u w:val="single"/>
                        <w:bdr w:val="none" w:sz="0" w:space="0" w:color="auto" w:frame="1"/>
                        <w:lang w:eastAsia="tr-TR"/>
                        <w14:ligatures w14:val="none"/>
                      </w:rPr>
                      <w:t>https://www.efsa.europa.eu/sites/default/files/2023-11/EFSA%20Journal%20-%202023%20-%20%20-%20Targeted%20review%20of%20maximum%20residue%20levels%20%20MRLs%20%20for%20dicofol.pdf</w:t>
                    </w:r>
                  </w:hyperlink>
                </w:p>
                <w:p w14:paraId="4846E230" w14:textId="77777777" w:rsidR="00294F3B" w:rsidRDefault="00294F3B" w:rsidP="002B3AE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72F9558A" w14:textId="77777777" w:rsidR="00294F3B" w:rsidRPr="00294F3B" w:rsidRDefault="00294F3B" w:rsidP="00294F3B">
                  <w:pPr>
                    <w:pStyle w:val="Balk2"/>
                    <w:shd w:val="clear" w:color="auto" w:fill="FFFFFF"/>
                    <w:spacing w:before="0" w:beforeAutospacing="0" w:after="120" w:afterAutospacing="0"/>
                    <w:rPr>
                      <w:rFonts w:ascii="Arial" w:hAnsi="Arial" w:cs="Arial"/>
                      <w:caps/>
                      <w:color w:val="333333"/>
                      <w:sz w:val="24"/>
                      <w:szCs w:val="24"/>
                    </w:rPr>
                  </w:pPr>
                  <w:r w:rsidRPr="00294F3B">
                    <w:rPr>
                      <w:rFonts w:ascii="Arial" w:hAnsi="Arial" w:cs="Arial"/>
                      <w:caps/>
                      <w:color w:val="333333"/>
                      <w:sz w:val="24"/>
                      <w:szCs w:val="24"/>
                    </w:rPr>
                    <w:t>RASFF NOTIFICATION: 2023/47 (20/11/</w:t>
                  </w:r>
                  <w:proofErr w:type="gramStart"/>
                  <w:r w:rsidRPr="00294F3B">
                    <w:rPr>
                      <w:rFonts w:ascii="Arial" w:hAnsi="Arial" w:cs="Arial"/>
                      <w:caps/>
                      <w:color w:val="333333"/>
                      <w:sz w:val="24"/>
                      <w:szCs w:val="24"/>
                    </w:rPr>
                    <w:t>2023 -</w:t>
                  </w:r>
                  <w:proofErr w:type="gramEnd"/>
                  <w:r w:rsidRPr="00294F3B">
                    <w:rPr>
                      <w:rFonts w:ascii="Arial" w:hAnsi="Arial" w:cs="Arial"/>
                      <w:caps/>
                      <w:color w:val="333333"/>
                      <w:sz w:val="24"/>
                      <w:szCs w:val="24"/>
                    </w:rPr>
                    <w:t xml:space="preserve"> 26/11/2023)</w:t>
                  </w:r>
                </w:p>
                <w:p w14:paraId="6253890A" w14:textId="77777777" w:rsidR="00294F3B" w:rsidRPr="00294F3B" w:rsidRDefault="00294F3B" w:rsidP="00294F3B">
                  <w:pPr>
                    <w:pStyle w:val="NormalWeb"/>
                    <w:shd w:val="clear" w:color="auto" w:fill="FFFFFF"/>
                    <w:spacing w:before="0" w:beforeAutospacing="0" w:after="120" w:afterAutospacing="0"/>
                    <w:rPr>
                      <w:rFonts w:ascii="Arial" w:hAnsi="Arial" w:cs="Arial"/>
                      <w:color w:val="333333"/>
                    </w:rPr>
                  </w:pP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Please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find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below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a FRUCOM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report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compiling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RASFF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notifications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of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week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2023/47 (20/11/</w:t>
                  </w:r>
                  <w:proofErr w:type="gramStart"/>
                  <w:r w:rsidRPr="00294F3B">
                    <w:rPr>
                      <w:rFonts w:ascii="Arial" w:hAnsi="Arial" w:cs="Arial"/>
                      <w:color w:val="333333"/>
                    </w:rPr>
                    <w:t>2023 -</w:t>
                  </w:r>
                  <w:proofErr w:type="gram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26/11/2023).</w:t>
                  </w:r>
                </w:p>
                <w:p w14:paraId="39BD32DA" w14:textId="77777777" w:rsidR="00294F3B" w:rsidRPr="00294F3B" w:rsidRDefault="00294F3B" w:rsidP="00294F3B">
                  <w:pPr>
                    <w:pStyle w:val="NormalWeb"/>
                    <w:shd w:val="clear" w:color="auto" w:fill="FFFFFF"/>
                    <w:spacing w:before="0" w:beforeAutospacing="0" w:after="120" w:afterAutospacing="0"/>
                    <w:rPr>
                      <w:rFonts w:ascii="Arial" w:hAnsi="Arial" w:cs="Arial"/>
                      <w:color w:val="333333"/>
                    </w:rPr>
                  </w:pPr>
                  <w:r w:rsidRPr="00294F3B">
                    <w:rPr>
                      <w:rFonts w:ascii="Arial" w:hAnsi="Arial" w:cs="Arial"/>
                      <w:color w:val="333333"/>
                    </w:rPr>
                    <w:t xml:space="preserve">Information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provided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in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the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report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is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based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on RASFF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notifications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published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on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the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DG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SANTE’s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 xml:space="preserve"> online </w:t>
                  </w:r>
                  <w:proofErr w:type="spellStart"/>
                  <w:r w:rsidRPr="00294F3B">
                    <w:rPr>
                      <w:rFonts w:ascii="Arial" w:hAnsi="Arial" w:cs="Arial"/>
                      <w:color w:val="333333"/>
                    </w:rPr>
                    <w:t>database</w:t>
                  </w:r>
                  <w:proofErr w:type="spellEnd"/>
                  <w:r w:rsidRPr="00294F3B">
                    <w:rPr>
                      <w:rFonts w:ascii="Arial" w:hAnsi="Arial" w:cs="Arial"/>
                      <w:color w:val="333333"/>
                    </w:rPr>
                    <w:t>.</w:t>
                  </w:r>
                </w:p>
                <w:p w14:paraId="2A54B674" w14:textId="77777777" w:rsidR="00294F3B" w:rsidRPr="00294F3B" w:rsidRDefault="00294F3B" w:rsidP="00294F3B">
                  <w:pPr>
                    <w:pStyle w:val="NormalWeb"/>
                    <w:shd w:val="clear" w:color="auto" w:fill="FFFFFF"/>
                    <w:spacing w:before="0" w:beforeAutospacing="0" w:after="120" w:afterAutospacing="0"/>
                    <w:rPr>
                      <w:rFonts w:ascii="Arial" w:hAnsi="Arial" w:cs="Arial"/>
                      <w:color w:val="333333"/>
                    </w:rPr>
                  </w:pPr>
                  <w:r w:rsidRPr="00294F3B">
                    <w:rPr>
                      <w:rFonts w:ascii="Arial" w:hAnsi="Arial" w:cs="Arial"/>
                      <w:color w:val="333333"/>
                    </w:rPr>
                    <w:t> </w:t>
                  </w:r>
                  <w:hyperlink r:id="rId41" w:history="1">
                    <w:r w:rsidRPr="00294F3B">
                      <w:rPr>
                        <w:rStyle w:val="Kpr"/>
                        <w:rFonts w:ascii="Arial" w:hAnsi="Arial" w:cs="Arial"/>
                        <w:color w:val="00A287"/>
                        <w:u w:val="none"/>
                        <w:bdr w:val="none" w:sz="0" w:space="0" w:color="auto" w:frame="1"/>
                      </w:rPr>
                      <w:t>FRUCOMRASFF</w:t>
                    </w:r>
                    <w:r w:rsidRPr="00294F3B">
                      <w:rPr>
                        <w:rStyle w:val="Kpr"/>
                        <w:rFonts w:ascii="Arial" w:hAnsi="Arial" w:cs="Arial"/>
                        <w:color w:val="00A287"/>
                        <w:u w:val="none"/>
                        <w:bdr w:val="none" w:sz="0" w:space="0" w:color="auto" w:frame="1"/>
                      </w:rPr>
                      <w:t>2023_Week47</w:t>
                    </w:r>
                  </w:hyperlink>
                </w:p>
                <w:p w14:paraId="1CBF6F43" w14:textId="77777777" w:rsidR="00294F3B" w:rsidRPr="00A2490F" w:rsidRDefault="00294F3B" w:rsidP="002B3AE7">
                  <w:pPr>
                    <w:spacing w:after="120" w:line="240" w:lineRule="auto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  <w:p w14:paraId="174407A6" w14:textId="7541706A" w:rsidR="00A2490F" w:rsidRPr="00A2490F" w:rsidRDefault="00A2490F" w:rsidP="00A2490F">
                  <w:pPr>
                    <w:spacing w:after="120" w:line="240" w:lineRule="auto"/>
                    <w:ind w:left="1440"/>
                    <w:jc w:val="both"/>
                    <w:rPr>
                      <w:rFonts w:ascii="Arial" w:eastAsia="Times New Roman" w:hAnsi="Arial" w:cs="Arial"/>
                      <w:color w:val="333333"/>
                      <w:kern w:val="0"/>
                      <w:sz w:val="24"/>
                      <w:szCs w:val="24"/>
                      <w:lang w:eastAsia="tr-TR"/>
                      <w14:ligatures w14:val="none"/>
                    </w:rPr>
                  </w:pPr>
                </w:p>
              </w:tc>
            </w:tr>
          </w:tbl>
          <w:p w14:paraId="4303C725" w14:textId="77777777" w:rsidR="00A2490F" w:rsidRPr="00A2490F" w:rsidRDefault="00A2490F" w:rsidP="00A2490F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2D2D38"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</w:tr>
    </w:tbl>
    <w:p w14:paraId="554DE0B8" w14:textId="77777777" w:rsidR="00EF657A" w:rsidRPr="00A2490F" w:rsidRDefault="00EF657A">
      <w:pPr>
        <w:rPr>
          <w:sz w:val="24"/>
          <w:szCs w:val="24"/>
        </w:rPr>
      </w:pPr>
    </w:p>
    <w:sectPr w:rsidR="00EF657A" w:rsidRPr="00A24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t_walsheim_pro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2673"/>
    <w:multiLevelType w:val="multilevel"/>
    <w:tmpl w:val="98B4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20A9F"/>
    <w:multiLevelType w:val="multilevel"/>
    <w:tmpl w:val="367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3729200">
    <w:abstractNumId w:val="0"/>
  </w:num>
  <w:num w:numId="2" w16cid:durableId="868566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12"/>
    <w:rsid w:val="00233D2D"/>
    <w:rsid w:val="00294F3B"/>
    <w:rsid w:val="002B3AE7"/>
    <w:rsid w:val="00376CB0"/>
    <w:rsid w:val="004C6816"/>
    <w:rsid w:val="008800BE"/>
    <w:rsid w:val="008F101B"/>
    <w:rsid w:val="00936112"/>
    <w:rsid w:val="00991334"/>
    <w:rsid w:val="00A2490F"/>
    <w:rsid w:val="00A644B5"/>
    <w:rsid w:val="00B21412"/>
    <w:rsid w:val="00C073AC"/>
    <w:rsid w:val="00C365E6"/>
    <w:rsid w:val="00C5603A"/>
    <w:rsid w:val="00CD3BBD"/>
    <w:rsid w:val="00D0455A"/>
    <w:rsid w:val="00D36EB8"/>
    <w:rsid w:val="00D4682C"/>
    <w:rsid w:val="00DA1C45"/>
    <w:rsid w:val="00E4174E"/>
    <w:rsid w:val="00EE0DF5"/>
    <w:rsid w:val="00EF657A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9090E"/>
  <w15:chartTrackingRefBased/>
  <w15:docId w15:val="{02AD203E-32D5-45F8-BA42-BD87EEBC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24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A249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A249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2490F"/>
    <w:rPr>
      <w:rFonts w:ascii="Times New Roman" w:eastAsia="Times New Roman" w:hAnsi="Times New Roman" w:cs="Times New Roman"/>
      <w:b/>
      <w:bCs/>
      <w:kern w:val="0"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A2490F"/>
    <w:rPr>
      <w:rFonts w:ascii="Times New Roman" w:eastAsia="Times New Roman" w:hAnsi="Times New Roman" w:cs="Times New Roman"/>
      <w:b/>
      <w:bCs/>
      <w:kern w:val="0"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A2490F"/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249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2490F"/>
    <w:rPr>
      <w:i/>
      <w:iCs/>
    </w:rPr>
  </w:style>
  <w:style w:type="character" w:styleId="Gl">
    <w:name w:val="Strong"/>
    <w:basedOn w:val="VarsaylanParagrafYazTipi"/>
    <w:uiPriority w:val="22"/>
    <w:qFormat/>
    <w:rsid w:val="00A2490F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294F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39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65945982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15888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6961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  <w:divsChild>
            <w:div w:id="265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0039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92953789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24497308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00106565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56390741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93147333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807580574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  <w:div w:id="141848326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11" w:color="FF8C00"/>
            <w:bottom w:val="none" w:sz="0" w:space="0" w:color="auto"/>
            <w:right w:val="none" w:sz="0" w:space="0" w:color="auto"/>
          </w:divBdr>
        </w:div>
      </w:divsChild>
    </w:div>
    <w:div w:id="1366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https://frucom.eu/circulars/4364:pesticides-commission-s-sur-brieffing.html" TargetMode="External"/><Relationship Id="rId39" Type="http://schemas.openxmlformats.org/officeDocument/2006/relationships/hyperlink" Target="javascript:void(0);" TargetMode="External"/><Relationship Id="rId21" Type="http://schemas.openxmlformats.org/officeDocument/2006/relationships/hyperlink" Target="https://www.frucom.eu/circulars/4351:frucom-letter-to-mep-de-meo-and-eu-member-states-permanent-representations.html" TargetMode="External"/><Relationship Id="rId34" Type="http://schemas.openxmlformats.org/officeDocument/2006/relationships/hyperlink" Target="https://docs.wto.org/dol2fe/Pages/SS/directdoc.aspx?filename=q:/G/SPS/NEU697.pdf&amp;Open=True" TargetMode="External"/><Relationship Id="rId42" Type="http://schemas.openxmlformats.org/officeDocument/2006/relationships/fontTable" Target="fontTable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https://frucom.eu/component/attachments/attachments.html?task=attachment&amp;id=2212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https://docs.wto.org/dol2fe/Pages/SS/directdoc.aspx?filename=q:/G/SPS/GEN2178.pdf&amp;Open=True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https://www.efsa.europa.eu/sites/default/files/2023-11/EFSA%20Journal%20-%202023%20-%20%20-%20Targeted%20review%20of%20maximum%20residue%20levels%20%20MRLs%20%20for%20dicofol.pdf" TargetMode="External"/><Relationship Id="rId5" Type="http://schemas.openxmlformats.org/officeDocument/2006/relationships/hyperlink" Target="javascript:void(0);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https://www.fooddrinkeurope.eu/resource/meps-see-the-complexity-of-packaging-and-adopt-a-pragmatic-negotiating-position/" TargetMode="External"/><Relationship Id="rId28" Type="http://schemas.openxmlformats.org/officeDocument/2006/relationships/hyperlink" Target="https://docs.wto.org/dol2fe/Pages/SS/directdoc.aspx?filename=q:/G/SPS/NEU698.pdf&amp;Open=True" TargetMode="External"/><Relationship Id="rId36" Type="http://schemas.openxmlformats.org/officeDocument/2006/relationships/hyperlink" Target="https://docs.wto.org/dol2fe/Pages/SS/directdoc.aspx?filename=q:/G/SPS/NEU696.pdf&amp;Open=True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s://eur-lex.europa.eu/legal-content/EN/TXT/PDF/?uri=OJ:L_202302663" TargetMode="External"/><Relationship Id="rId31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https://www.europarl.europa.eu/news/en/press-room/20231117IPR12213/parliament-adopts-revamped-rules-to-reduce-reuse-and-recycle-packaging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https://docs.wto.org/dol2fe/Pages/SS/directdoc.aspx?filename=q:/G/SPS/GEN2179.pdf&amp;Open=True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theme" Target="theme/theme1.xml"/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frucom.eu/component/attachments/attachments.html?task=attachment&amp;id=2211" TargetMode="External"/><Relationship Id="rId25" Type="http://schemas.openxmlformats.org/officeDocument/2006/relationships/hyperlink" Target="https://www.europarl.europa.eu/doceo/document/TA-9-2023-0424_EN.pdf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https://docs.wto.org/dol2fe/Pages/SS/directdoc.aspx?filename=q:/G/TBTN23/EU1034.pdf&amp;Open=Tru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3676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bilge.turk@egebirlik.org.tr</dc:creator>
  <cp:keywords/>
  <dc:description/>
  <cp:lastModifiedBy>bilge.turk@egebirlik.org.tr</cp:lastModifiedBy>
  <cp:revision>2</cp:revision>
  <dcterms:created xsi:type="dcterms:W3CDTF">2023-11-28T05:53:00Z</dcterms:created>
  <dcterms:modified xsi:type="dcterms:W3CDTF">2023-11-28T05:53:00Z</dcterms:modified>
</cp:coreProperties>
</file>